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2021年度地方国有企业品牌建设典型案例名单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（各类案例按地方国资委名录排序）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16067" w:type="dxa"/>
        <w:tblInd w:w="-9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355"/>
        <w:gridCol w:w="4995"/>
        <w:gridCol w:w="6333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w w:val="96"/>
                <w:kern w:val="2"/>
                <w:sz w:val="32"/>
                <w:szCs w:val="32"/>
                <w:u w:val="none"/>
                <w:lang w:val="en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w w:val="96"/>
                <w:kern w:val="2"/>
                <w:sz w:val="32"/>
                <w:szCs w:val="3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w w:val="96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w w:val="96"/>
                <w:kern w:val="2"/>
                <w:sz w:val="32"/>
                <w:szCs w:val="32"/>
                <w:u w:val="none"/>
                <w:lang w:val="en-US" w:eastAsia="zh-CN" w:bidi="ar-SA"/>
              </w:rPr>
              <w:t>地方国资委名称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  <w:t>地方国有企业名称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val="en-US" w:eastAsia="zh-CN"/>
              </w:rPr>
              <w:t>案例名称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kern w:val="2"/>
                <w:sz w:val="32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32"/>
                <w:szCs w:val="28"/>
                <w:u w:val="none"/>
                <w:lang w:eastAsia="zh-CN"/>
              </w:rPr>
              <w:t>案例类别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广东省国资委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广州市白云机场股份有限公司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春风白云美好出行——广州白云国际机场春风服务品牌建设案例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组织保障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甘肃省国资委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金川集团股份有限公司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强化品牌保障，扬帆高质量发展航程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北京市国资委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北京能源集团有限责任公司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百年京能文化传承，品牌焕新聚力再出发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天津轨道交通集团有限公司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文商结合，打造地铁文创品牌新IP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山西省国资委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山西省文化旅游投资控股集团有限公司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88"/>
                <w:sz w:val="28"/>
                <w:szCs w:val="28"/>
                <w:u w:val="none"/>
                <w:lang w:val="en-US" w:eastAsia="zh-CN"/>
              </w:rPr>
              <w:t>“品牌文旅”牵引，山西文旅致力打造文旅产业发展旗舰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黑龙江省国资委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黑龙江省农业投资集团有限公司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88"/>
                <w:sz w:val="28"/>
                <w:szCs w:val="28"/>
                <w:u w:val="none"/>
                <w:lang w:val="en-US" w:eastAsia="zh-CN"/>
              </w:rPr>
              <w:t>发挥国企背书，打造国货精品，培育龙江农产品领军品牌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江苏省国资委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江苏省盐业集团有限责任公司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坚持品牌战略引领，推动企业高质量发展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浙江省国资委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杭州印象西湖文化发展有限公司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品牌视觉升级重塑，拓宽品牌应用延展性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88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山东省国资委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山东华特控股集团有限公司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构建一体化品牌识别，打造信息化行业标杆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88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河南省国资委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河南能源化工集团有限公司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打造“六精”融媒体，讲述国企好故事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广东省国资委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广州轻工工贸集团有限公司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奋楫开拓，赋能老字号品牌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广西壮族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自治区国资委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广西投资集团有限公司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构建全媒体传播体系，提升广投品牌传播力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陕西省国资委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陕西煤业化工集团有限责任公司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坚守，为的不仅仅是一瓶水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青岛市国资委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青岛银行股份有限公司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楷体"/>
                <w:w w:val="86"/>
                <w:kern w:val="2"/>
                <w:sz w:val="28"/>
                <w:szCs w:val="28"/>
                <w:lang w:val="en-US" w:eastAsia="zh-CN" w:bidi="ar-SA"/>
              </w:rPr>
              <w:t>打造“创·新金融 美·好银行”，青岛银行品牌跃升之路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宁波市国资委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宁波工业投资集团有限公司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从工业遗存到创意产业，“和丰”品牌的保护之路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新疆生产建设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兵团国资委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新疆五五酒业有限公司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五五酒业“三大品牌”保护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北京市国资委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北京首农食品集团有限公司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聚合品牌力量，释放集团重组优势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创建路径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天津港（集团）有限公司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打造“FAST”品牌，建构南北海上物流新模式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山西省国资委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山西焦煤集团有限责任公司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中国焦煤品牌集群的三项创新实践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江苏省国资委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江苏省沿海开发集团有限公司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稻花香里“鹤”丰年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南京旅游集团有限责任公司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“长江传奇”滨江游轮文旅融合打造优质供给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重庆市国资委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重庆机场集团有限公司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重庆机场航站楼“心连心”品牌建设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贵州省国资委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中国贵州茅台酒厂（集团）有限责任公司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二十载砥砺前行，茅台王子酒品牌发展之路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陕西省国资委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陕西医药控股集团有限责任公司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数字技术打造物流标杆，仁心责任铸就品牌辉煌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青岛市国资委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青岛国际机场集团有限公司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“宾宾有礼”助您出行无忧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深圳市国资委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深圳市机场（集团）有限公司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深圳机场打造一站式全流程爱心服务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河钢集团有限公司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基于产业链全球化布局的企业品牌国际化模式构建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国际化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安徽省国资委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安徽叉车集团有限责任公司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以高质量传播助力合力品牌国际化</w:t>
            </w:r>
          </w:p>
        </w:tc>
        <w:tc>
          <w:tcPr>
            <w:tcW w:w="15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福建省国资委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福建建工集团有限责任公司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中国武夷“党旗飘扬在海外”党建品牌打造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国际化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广东省国资委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广州汽车集团股份有限公司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广汽国际全球化品牌形象打造实践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厦门市国资委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厦门轻工集团有限公司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实现从中国制造到世界品牌的跨越</w:t>
            </w: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深圳市国资委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深圳市地铁集团有限公司</w:t>
            </w:r>
          </w:p>
        </w:tc>
        <w:tc>
          <w:tcPr>
            <w:tcW w:w="6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  <w:t>融入•共赢丨开启东非高原“现代轨道交通”新时代</w:t>
            </w: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w w:val="96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DIzMjdhN2FjNDA5OWFjOTlkYzdlOTczMjA5ZTYifQ=="/>
  </w:docVars>
  <w:rsids>
    <w:rsidRoot w:val="00000000"/>
    <w:rsid w:val="01EE4690"/>
    <w:rsid w:val="0EEA3718"/>
    <w:rsid w:val="0EEDBEB2"/>
    <w:rsid w:val="188372CC"/>
    <w:rsid w:val="1F5BB9D4"/>
    <w:rsid w:val="2DFF5257"/>
    <w:rsid w:val="317F8468"/>
    <w:rsid w:val="33FFAD28"/>
    <w:rsid w:val="38D782F4"/>
    <w:rsid w:val="3AEF3788"/>
    <w:rsid w:val="3E1A869D"/>
    <w:rsid w:val="3EAB0813"/>
    <w:rsid w:val="3FD32D5D"/>
    <w:rsid w:val="45FEF923"/>
    <w:rsid w:val="4F9C29D3"/>
    <w:rsid w:val="4FFF2726"/>
    <w:rsid w:val="52852B0F"/>
    <w:rsid w:val="550221D2"/>
    <w:rsid w:val="5995C7E8"/>
    <w:rsid w:val="59FE0269"/>
    <w:rsid w:val="5A67921A"/>
    <w:rsid w:val="5AF0309A"/>
    <w:rsid w:val="5D1D0899"/>
    <w:rsid w:val="5EB6532A"/>
    <w:rsid w:val="5EE279DF"/>
    <w:rsid w:val="5F6BEBC9"/>
    <w:rsid w:val="5FD0361E"/>
    <w:rsid w:val="6B785AF9"/>
    <w:rsid w:val="6BCBA031"/>
    <w:rsid w:val="6DE19C38"/>
    <w:rsid w:val="6EBD2A7D"/>
    <w:rsid w:val="6F7FC7AD"/>
    <w:rsid w:val="6FB7AF65"/>
    <w:rsid w:val="6FFE9CC7"/>
    <w:rsid w:val="715756D2"/>
    <w:rsid w:val="75F906FA"/>
    <w:rsid w:val="77E8437E"/>
    <w:rsid w:val="7D6DFFA3"/>
    <w:rsid w:val="7E440EE0"/>
    <w:rsid w:val="7E6E98A9"/>
    <w:rsid w:val="7EFE6732"/>
    <w:rsid w:val="7F63B0BE"/>
    <w:rsid w:val="7FD2713A"/>
    <w:rsid w:val="7FDDE9E4"/>
    <w:rsid w:val="7FDF3F76"/>
    <w:rsid w:val="7FFEA6D9"/>
    <w:rsid w:val="8E77B8F5"/>
    <w:rsid w:val="B31ECA60"/>
    <w:rsid w:val="BFF5D910"/>
    <w:rsid w:val="BFFA4FF7"/>
    <w:rsid w:val="C39E8AAA"/>
    <w:rsid w:val="CF4D2A44"/>
    <w:rsid w:val="D5E70B64"/>
    <w:rsid w:val="D7BF6284"/>
    <w:rsid w:val="D7D5AA2B"/>
    <w:rsid w:val="DAF7A863"/>
    <w:rsid w:val="DD79D823"/>
    <w:rsid w:val="DFF3FDBE"/>
    <w:rsid w:val="EE71A91D"/>
    <w:rsid w:val="F1BF95F3"/>
    <w:rsid w:val="F5FF1C53"/>
    <w:rsid w:val="F73F064F"/>
    <w:rsid w:val="F79E6E29"/>
    <w:rsid w:val="F7EFAD9F"/>
    <w:rsid w:val="F8373321"/>
    <w:rsid w:val="FBBF7561"/>
    <w:rsid w:val="FBFDF569"/>
    <w:rsid w:val="FD9D9736"/>
    <w:rsid w:val="FDEF506D"/>
    <w:rsid w:val="FEF7CC95"/>
    <w:rsid w:val="FF7B25EE"/>
    <w:rsid w:val="FFDCBE93"/>
    <w:rsid w:val="FFDDE53A"/>
    <w:rsid w:val="FFE06B5B"/>
    <w:rsid w:val="FFFE5DCD"/>
    <w:rsid w:val="FFFF8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1280</Words>
  <Characters>1310</Characters>
  <Lines>0</Lines>
  <Paragraphs>0</Paragraphs>
  <TotalTime>17</TotalTime>
  <ScaleCrop>false</ScaleCrop>
  <LinksUpToDate>false</LinksUpToDate>
  <CharactersWithSpaces>1311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Administrator</cp:lastModifiedBy>
  <cp:lastPrinted>2022-05-31T10:25:00Z</cp:lastPrinted>
  <dcterms:modified xsi:type="dcterms:W3CDTF">2022-07-01T06:04:54Z</dcterms:modified>
  <dc:title>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CE4908BF5F944650AA890C611737C92A</vt:lpwstr>
  </property>
  <property fmtid="{D5CDD505-2E9C-101B-9397-08002B2CF9AE}" pid="4" name="DOCOPENTIME">
    <vt:lpwstr>2022-06-05212718</vt:lpwstr>
  </property>
  <property fmtid="{D5CDD505-2E9C-101B-9397-08002B2CF9AE}" pid="5" name="DOCUNID">
    <vt:lpwstr>876b5c14a0ae40c4ad8b08a1d8d21d9d</vt:lpwstr>
  </property>
  <property fmtid="{D5CDD505-2E9C-101B-9397-08002B2CF9AE}" pid="6" name="ActionName">
    <vt:lpwstr>ViewWord</vt:lpwstr>
  </property>
</Properties>
</file>